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AD2FE">
      <w:pPr>
        <w:jc w:val="center"/>
        <w:rPr>
          <w:rFonts w:ascii="方正小标宋简体" w:eastAsia="方正小标宋简体"/>
          <w:sz w:val="44"/>
          <w:szCs w:val="44"/>
        </w:rPr>
      </w:pPr>
      <w:r>
        <w:rPr>
          <w:rFonts w:hint="eastAsia" w:ascii="方正小标宋简体" w:eastAsia="方正小标宋简体"/>
          <w:sz w:val="44"/>
          <w:szCs w:val="44"/>
          <w:lang w:val="en-US" w:eastAsia="zh-CN"/>
        </w:rPr>
        <w:t>2025</w:t>
      </w:r>
      <w:r>
        <w:rPr>
          <w:rFonts w:hint="eastAsia" w:ascii="方正小标宋简体" w:eastAsia="方正小标宋简体"/>
          <w:sz w:val="44"/>
          <w:szCs w:val="44"/>
        </w:rPr>
        <w:t>年度述职述廉述学报告</w:t>
      </w:r>
    </w:p>
    <w:p w14:paraId="1E1F4F41">
      <w:pPr>
        <w:jc w:val="center"/>
        <w:rPr>
          <w:rFonts w:hint="eastAsia" w:ascii="楷体" w:hAnsi="楷体" w:eastAsia="楷体"/>
          <w:sz w:val="32"/>
          <w:szCs w:val="32"/>
          <w:lang w:eastAsia="zh-CN"/>
        </w:rPr>
      </w:pPr>
      <w:r>
        <w:rPr>
          <w:rFonts w:hint="eastAsia" w:ascii="楷体" w:hAnsi="楷体" w:eastAsia="楷体"/>
          <w:sz w:val="32"/>
          <w:szCs w:val="32"/>
          <w:lang w:eastAsia="zh-CN"/>
        </w:rPr>
        <w:t>农</w:t>
      </w:r>
      <w:r>
        <w:rPr>
          <w:rFonts w:hint="eastAsia" w:ascii="楷体" w:hAnsi="楷体" w:eastAsia="楷体"/>
          <w:sz w:val="32"/>
          <w:szCs w:val="32"/>
        </w:rPr>
        <w:t xml:space="preserve">学院党委书记 </w:t>
      </w:r>
      <w:r>
        <w:rPr>
          <w:rFonts w:hint="eastAsia" w:ascii="楷体" w:hAnsi="楷体" w:eastAsia="楷体"/>
          <w:sz w:val="32"/>
          <w:szCs w:val="32"/>
          <w:lang w:eastAsia="zh-CN"/>
        </w:rPr>
        <w:t>王</w:t>
      </w:r>
      <w:r>
        <w:rPr>
          <w:rFonts w:hint="eastAsia" w:ascii="楷体" w:hAnsi="楷体" w:eastAsia="楷体"/>
          <w:sz w:val="32"/>
          <w:szCs w:val="32"/>
          <w:lang w:val="en-US" w:eastAsia="zh-CN"/>
        </w:rPr>
        <w:t xml:space="preserve">  </w:t>
      </w:r>
      <w:r>
        <w:rPr>
          <w:rFonts w:hint="eastAsia" w:ascii="楷体" w:hAnsi="楷体" w:eastAsia="楷体"/>
          <w:sz w:val="32"/>
          <w:szCs w:val="32"/>
          <w:lang w:eastAsia="zh-CN"/>
        </w:rPr>
        <w:t>磊</w:t>
      </w:r>
    </w:p>
    <w:p w14:paraId="1EBDA053"/>
    <w:p w14:paraId="2F2EB315">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sz w:val="32"/>
          <w:szCs w:val="32"/>
        </w:rPr>
      </w:pPr>
      <w:r>
        <w:rPr>
          <w:rFonts w:hint="eastAsia" w:ascii="仿宋" w:hAnsi="仿宋" w:eastAsia="仿宋"/>
          <w:sz w:val="32"/>
          <w:szCs w:val="32"/>
        </w:rPr>
        <w:t>各位老师：</w:t>
      </w:r>
    </w:p>
    <w:p w14:paraId="5EE7942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现在，我向大家报告自己</w:t>
      </w:r>
      <w:r>
        <w:rPr>
          <w:rFonts w:hint="eastAsia" w:ascii="仿宋" w:hAnsi="仿宋" w:eastAsia="仿宋"/>
          <w:sz w:val="32"/>
          <w:szCs w:val="32"/>
          <w:lang w:val="en-US" w:eastAsia="zh-CN"/>
        </w:rPr>
        <w:t>2025</w:t>
      </w:r>
      <w:r>
        <w:rPr>
          <w:rFonts w:hint="eastAsia" w:ascii="仿宋" w:hAnsi="仿宋" w:eastAsia="仿宋"/>
          <w:sz w:val="32"/>
          <w:szCs w:val="32"/>
        </w:rPr>
        <w:t>年度履职情况。</w:t>
      </w:r>
    </w:p>
    <w:p w14:paraId="08D0A7BA">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sz w:val="32"/>
          <w:szCs w:val="32"/>
        </w:rPr>
      </w:pPr>
      <w:r>
        <w:rPr>
          <w:rFonts w:hint="eastAsia" w:ascii="黑体" w:hAnsi="黑体" w:eastAsia="黑体"/>
          <w:sz w:val="32"/>
          <w:szCs w:val="32"/>
        </w:rPr>
        <w:t>一、</w:t>
      </w:r>
      <w:r>
        <w:rPr>
          <w:rFonts w:hint="eastAsia" w:ascii="黑体" w:hAnsi="黑体" w:eastAsia="黑体"/>
          <w:sz w:val="32"/>
          <w:szCs w:val="32"/>
          <w:lang w:eastAsia="zh-CN"/>
        </w:rPr>
        <w:t>深入</w:t>
      </w:r>
      <w:r>
        <w:rPr>
          <w:rFonts w:hint="eastAsia" w:ascii="黑体" w:hAnsi="黑体" w:eastAsia="黑体"/>
          <w:sz w:val="32"/>
          <w:szCs w:val="32"/>
        </w:rPr>
        <w:t>学习</w:t>
      </w:r>
      <w:r>
        <w:rPr>
          <w:rFonts w:hint="eastAsia" w:ascii="黑体" w:hAnsi="黑体" w:eastAsia="黑体"/>
          <w:sz w:val="32"/>
          <w:szCs w:val="32"/>
          <w:lang w:eastAsia="zh-CN"/>
        </w:rPr>
        <w:t>贯彻</w:t>
      </w:r>
      <w:r>
        <w:rPr>
          <w:rFonts w:hint="eastAsia" w:ascii="黑体" w:hAnsi="黑体" w:eastAsia="黑体"/>
          <w:sz w:val="32"/>
          <w:szCs w:val="32"/>
        </w:rPr>
        <w:t>习近平新时代中国特色社会主义思想</w:t>
      </w:r>
    </w:p>
    <w:p w14:paraId="7872EA3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坚持以习近平新时代中国特色社会主义思想凝心铸魂，深入贯彻中央八项规定精神学习教育。牵头制定学院党委理论学习中心组年度学习计划，严格落实“思想引领、学习在先”机制，推动习近平新时代中国特色社会主义思想入脑入心。抓实党纪学习教育，组织班子成员、党支部书记专题学习《中国共产党纪律处分条例》，推出系列党纪学习教育专栏8期，观看警示教育片2场，引导党员干部知敬畏、存戒惧、守底线。牢牢掌握意识形态工作领导权，全年召开意识形态工作专题研判会4次，排查风险隐患6处，规范课堂教学、学术交流等阵地管理，确保办学方向不偏、导向正确。</w:t>
      </w:r>
    </w:p>
    <w:p w14:paraId="41346CD7">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32"/>
          <w:szCs w:val="32"/>
        </w:rPr>
      </w:pPr>
      <w:r>
        <w:rPr>
          <w:rFonts w:hint="eastAsia" w:ascii="黑体" w:hAnsi="黑体" w:eastAsia="黑体"/>
          <w:sz w:val="32"/>
          <w:szCs w:val="32"/>
        </w:rPr>
        <w:t>二、落实</w:t>
      </w:r>
      <w:r>
        <w:rPr>
          <w:rFonts w:hint="eastAsia" w:ascii="黑体" w:hAnsi="黑体" w:eastAsia="黑体"/>
          <w:sz w:val="32"/>
          <w:szCs w:val="32"/>
          <w:lang w:eastAsia="zh-CN"/>
        </w:rPr>
        <w:t>党建主体</w:t>
      </w:r>
      <w:r>
        <w:rPr>
          <w:rFonts w:hint="eastAsia" w:ascii="黑体" w:hAnsi="黑体" w:eastAsia="黑体"/>
          <w:sz w:val="32"/>
          <w:szCs w:val="32"/>
        </w:rPr>
        <w:t>责任</w:t>
      </w:r>
    </w:p>
    <w:p w14:paraId="56320BF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_GB2312"/>
          <w:sz w:val="32"/>
          <w:szCs w:val="32"/>
          <w:lang w:eastAsia="zh-CN"/>
        </w:rPr>
      </w:pPr>
      <w:r>
        <w:rPr>
          <w:rFonts w:hint="eastAsia" w:ascii="仿宋" w:hAnsi="仿宋" w:eastAsia="仿宋"/>
          <w:sz w:val="32"/>
          <w:szCs w:val="32"/>
          <w:lang w:val="en-US" w:eastAsia="zh-CN"/>
        </w:rPr>
        <w:t>系统谋划部署学院党建工作，打造学院党建“1251”工程，坚持围绕中心抓党建、抓好党建促发展。规范议事决策，严格执行党委会议事规则和党政联席会议制度，对学科建设、人才引育、经费使用等重大事项坚持集体研究、民主决策，确保决策科学合规。严格规范党内政治生活，认真落实“三会一课”制度，</w:t>
      </w:r>
      <w:r>
        <w:rPr>
          <w:rFonts w:hint="eastAsia" w:ascii="仿宋_GB2312" w:hAnsi="仿宋_GB2312" w:eastAsia="仿宋_GB2312" w:cs="仿宋_GB2312"/>
          <w:sz w:val="32"/>
          <w:szCs w:val="40"/>
        </w:rPr>
        <w:t>年度为师生党员上专题党课4次。实行书记联系党支部制度，对基层支部工作进行指导，扎实开展了“党建与种业科技创新双融双促”“农学院党委与中共新乡市平原示范区祝楼乡委员会党建共建”“党建教学深度融合”“暖心助学守初心，志愿同行育新苗”等主题党日活动，取得了良好育人效果。强化监督执纪，紧盯招生录取、科研经费、物资采购等关键领域，开展廉政风险排查3次，建立风险防控台账12项</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推进党务院务公开，公示各类事项28项，主动接受师生监督</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改进工作作风，严格执行中央八项规定及实施细则精神，深入师生开展调研，解决师生急难愁盼问题</w:t>
      </w:r>
      <w:r>
        <w:rPr>
          <w:rFonts w:hint="eastAsia" w:ascii="仿宋_GB2312" w:hAnsi="仿宋_GB2312" w:eastAsia="仿宋_GB2312" w:cs="仿宋_GB2312"/>
          <w:sz w:val="32"/>
          <w:szCs w:val="40"/>
          <w:lang w:eastAsia="zh-CN"/>
        </w:rPr>
        <w:t>。</w:t>
      </w:r>
    </w:p>
    <w:p w14:paraId="0D11085F">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、主动融入教学科研</w:t>
      </w:r>
    </w:p>
    <w:p w14:paraId="522EBE5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坚持高质量党建引领学院事业高质量发展，积极主动融入学院教学、科研和社会服务等工作。</w:t>
      </w:r>
    </w:p>
    <w:p w14:paraId="567BD663">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1.增强服务国家和区域粮食安全战略能力</w:t>
      </w:r>
    </w:p>
    <w:p w14:paraId="46AEB87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坚持</w:t>
      </w:r>
      <w:r>
        <w:rPr>
          <w:rFonts w:hint="eastAsia" w:ascii="仿宋" w:hAnsi="仿宋" w:eastAsia="仿宋"/>
          <w:sz w:val="32"/>
          <w:szCs w:val="32"/>
          <w:lang w:eastAsia="zh-CN"/>
        </w:rPr>
        <w:t>围绕国家粮食安全实现学院</w:t>
      </w:r>
      <w:r>
        <w:rPr>
          <w:rFonts w:hint="eastAsia" w:ascii="仿宋" w:hAnsi="仿宋" w:eastAsia="仿宋"/>
          <w:sz w:val="32"/>
          <w:szCs w:val="32"/>
        </w:rPr>
        <w:t>错位发展、协同发展</w:t>
      </w:r>
      <w:r>
        <w:rPr>
          <w:rFonts w:hint="eastAsia" w:ascii="仿宋" w:hAnsi="仿宋" w:eastAsia="仿宋"/>
          <w:sz w:val="32"/>
          <w:szCs w:val="32"/>
          <w:lang w:eastAsia="zh-CN"/>
        </w:rPr>
        <w:t>，</w:t>
      </w:r>
      <w:r>
        <w:rPr>
          <w:rFonts w:hint="eastAsia" w:ascii="仿宋" w:hAnsi="仿宋" w:eastAsia="仿宋"/>
          <w:sz w:val="32"/>
          <w:szCs w:val="32"/>
        </w:rPr>
        <w:t>年度新增科研项目22项，到账经费2233万元，</w:t>
      </w:r>
      <w:r>
        <w:rPr>
          <w:rFonts w:hint="eastAsia" w:ascii="仿宋" w:hAnsi="仿宋" w:eastAsia="仿宋"/>
          <w:sz w:val="32"/>
          <w:szCs w:val="32"/>
          <w:lang w:eastAsia="zh-CN"/>
        </w:rPr>
        <w:t>实现了专任教师人均到账经费三年内从</w:t>
      </w:r>
      <w:r>
        <w:rPr>
          <w:rFonts w:hint="eastAsia" w:ascii="仿宋" w:hAnsi="仿宋" w:eastAsia="仿宋"/>
          <w:sz w:val="32"/>
          <w:szCs w:val="32"/>
          <w:lang w:val="en-US" w:eastAsia="zh-CN"/>
        </w:rPr>
        <w:t>30万、50万到60万的跃升</w:t>
      </w:r>
      <w:r>
        <w:rPr>
          <w:rFonts w:hint="eastAsia" w:ascii="仿宋" w:hAnsi="仿宋" w:eastAsia="仿宋"/>
          <w:sz w:val="32"/>
          <w:szCs w:val="32"/>
        </w:rPr>
        <w:t>。</w:t>
      </w:r>
      <w:r>
        <w:rPr>
          <w:rFonts w:hint="eastAsia" w:ascii="仿宋" w:hAnsi="仿宋" w:eastAsia="仿宋"/>
          <w:sz w:val="32"/>
          <w:szCs w:val="32"/>
          <w:lang w:eastAsia="zh-CN"/>
        </w:rPr>
        <w:t>积极融入周口国家农高区和中原农谷建设，组织学习《河南周口国家农业高新技术产业示范区“十五五”高质量发展规划纲要（征求意见稿）》并返回修改意见，参加农高区组织的黄淮平原农业高质高效发展会议，作为</w:t>
      </w:r>
      <w:r>
        <w:rPr>
          <w:rFonts w:hint="eastAsia" w:ascii="仿宋" w:hAnsi="仿宋" w:eastAsia="仿宋"/>
          <w:sz w:val="32"/>
          <w:szCs w:val="32"/>
        </w:rPr>
        <w:t>圆桌会议</w:t>
      </w:r>
      <w:r>
        <w:rPr>
          <w:rFonts w:hint="eastAsia" w:ascii="仿宋" w:hAnsi="仿宋" w:eastAsia="仿宋"/>
          <w:sz w:val="32"/>
          <w:szCs w:val="32"/>
          <w:lang w:eastAsia="zh-CN"/>
        </w:rPr>
        <w:t>代表提出发展意见和建议，积极推动我校与周口国家农高区合作协议落实。</w:t>
      </w:r>
    </w:p>
    <w:p w14:paraId="7D5A384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2025年中原农谷河南大学生物农业创新中心实验室投入使用，现有2名青年教师和15名研究生长期在中原农谷开展科学研究，缓解了学院相关课题组实验空间紧缺问题。在</w:t>
      </w:r>
      <w:r>
        <w:rPr>
          <w:rFonts w:hint="eastAsia" w:ascii="仿宋" w:hAnsi="仿宋" w:eastAsia="仿宋"/>
          <w:sz w:val="32"/>
          <w:szCs w:val="32"/>
          <w:lang w:eastAsia="zh-CN"/>
        </w:rPr>
        <w:t>中原农谷</w:t>
      </w:r>
      <w:r>
        <w:rPr>
          <w:rFonts w:hint="eastAsia" w:ascii="仿宋" w:hAnsi="仿宋" w:eastAsia="仿宋"/>
          <w:sz w:val="32"/>
          <w:szCs w:val="32"/>
        </w:rPr>
        <w:t>未来农业试验基地</w:t>
      </w:r>
      <w:r>
        <w:rPr>
          <w:rFonts w:hint="eastAsia" w:ascii="仿宋" w:hAnsi="仿宋" w:eastAsia="仿宋"/>
          <w:sz w:val="32"/>
          <w:szCs w:val="32"/>
          <w:lang w:eastAsia="zh-CN"/>
        </w:rPr>
        <w:t>育成我校作为第一单位的</w:t>
      </w:r>
      <w:r>
        <w:rPr>
          <w:rFonts w:hint="eastAsia" w:ascii="仿宋" w:hAnsi="仿宋" w:eastAsia="仿宋"/>
          <w:sz w:val="32"/>
          <w:szCs w:val="32"/>
        </w:rPr>
        <w:t>耐密高产大豆新品种“河开1号”进入区试</w:t>
      </w:r>
      <w:r>
        <w:rPr>
          <w:rFonts w:hint="eastAsia" w:ascii="仿宋" w:hAnsi="仿宋" w:eastAsia="仿宋"/>
          <w:sz w:val="32"/>
          <w:szCs w:val="32"/>
          <w:lang w:eastAsia="zh-CN"/>
        </w:rPr>
        <w:t>，</w:t>
      </w:r>
      <w:r>
        <w:rPr>
          <w:rFonts w:hint="eastAsia" w:ascii="仿宋" w:hAnsi="仿宋" w:eastAsia="仿宋"/>
          <w:sz w:val="32"/>
          <w:szCs w:val="32"/>
          <w:lang w:val="en-US" w:eastAsia="zh-CN"/>
        </w:rPr>
        <w:t>2026年可开展推广应用。参加2025中原农谷种业大会，并受邀在大会上介绍农学院科研团队情况</w:t>
      </w:r>
      <w:r>
        <w:rPr>
          <w:rFonts w:hint="eastAsia" w:ascii="仿宋" w:hAnsi="仿宋" w:eastAsia="仿宋"/>
          <w:sz w:val="32"/>
          <w:szCs w:val="32"/>
          <w:lang w:eastAsia="zh-CN"/>
        </w:rPr>
        <w:t>，组织学院专家赴河南省中原农谷投资运营有限公司进行产业对接，推动科研成果落地。提高研究会服务能力，</w:t>
      </w:r>
      <w:r>
        <w:rPr>
          <w:rFonts w:hint="eastAsia" w:ascii="仿宋" w:hAnsi="仿宋" w:eastAsia="仿宋"/>
          <w:sz w:val="32"/>
          <w:szCs w:val="32"/>
        </w:rPr>
        <w:t>研究会颁布实施《河套平原硬质春小麦》团体标准，规范了河套平原地区硬质春小麦的生产与质量要求</w:t>
      </w:r>
      <w:r>
        <w:rPr>
          <w:rFonts w:hint="eastAsia" w:ascii="仿宋" w:hAnsi="仿宋" w:eastAsia="仿宋"/>
          <w:sz w:val="32"/>
          <w:szCs w:val="32"/>
          <w:lang w:eastAsia="zh-CN"/>
        </w:rPr>
        <w:t>，学院成果</w:t>
      </w:r>
      <w:r>
        <w:rPr>
          <w:rFonts w:hint="eastAsia" w:ascii="仿宋" w:hAnsi="仿宋" w:eastAsia="仿宋"/>
          <w:sz w:val="32"/>
          <w:szCs w:val="32"/>
        </w:rPr>
        <w:t>获河南省教育厅科技进步类一等奖1项</w:t>
      </w:r>
      <w:r>
        <w:rPr>
          <w:rFonts w:hint="eastAsia" w:ascii="仿宋" w:hAnsi="仿宋" w:eastAsia="仿宋"/>
          <w:sz w:val="32"/>
          <w:szCs w:val="32"/>
          <w:lang w:eastAsia="zh-CN"/>
        </w:rPr>
        <w:t>，特殊食品校企研发中心获批河南省重点校企研发中心认定</w:t>
      </w:r>
      <w:r>
        <w:rPr>
          <w:rFonts w:hint="eastAsia" w:ascii="仿宋" w:hAnsi="仿宋" w:eastAsia="仿宋"/>
          <w:sz w:val="32"/>
          <w:szCs w:val="32"/>
        </w:rPr>
        <w:t>。</w:t>
      </w:r>
    </w:p>
    <w:p w14:paraId="5FB8F98D">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2.提高服务人才发展能力</w:t>
      </w:r>
    </w:p>
    <w:p w14:paraId="50238E9E">
      <w:pPr>
        <w:spacing w:line="540" w:lineRule="exact"/>
        <w:ind w:firstLine="641"/>
        <w:rPr>
          <w:rFonts w:hint="eastAsia" w:ascii="仿宋" w:hAnsi="仿宋" w:eastAsia="仿宋"/>
          <w:sz w:val="32"/>
          <w:szCs w:val="32"/>
          <w:lang w:eastAsia="zh-CN"/>
        </w:rPr>
      </w:pPr>
      <w:r>
        <w:rPr>
          <w:rFonts w:hint="eastAsia" w:ascii="仿宋" w:hAnsi="仿宋" w:eastAsia="仿宋"/>
          <w:sz w:val="32"/>
          <w:szCs w:val="32"/>
          <w:lang w:eastAsia="zh-CN"/>
        </w:rPr>
        <w:t>构建引育并举的人才工作体系，强化青年教师培养，实施“青年教师成长计划”，完善师资考核评价机制，激发师资队伍内生动力。2025年新增入选河南省特聘教授1人，河南省优秀专家1人，河南省现代农业产业技术未来产业研究咨询体系首席专家1人，河南省五四青年奖（青年科技工作者）2人，获批河南省高校科技创新团队1个，河南省科教融汇协同育人项目1项，</w:t>
      </w:r>
      <w:r>
        <w:rPr>
          <w:rFonts w:hint="eastAsia" w:ascii="仿宋" w:hAnsi="仿宋" w:eastAsia="仿宋"/>
          <w:sz w:val="32"/>
          <w:szCs w:val="32"/>
          <w:lang w:val="en-US" w:eastAsia="zh-CN"/>
        </w:rPr>
        <w:t>2名青年教师在国外进行访学，1名在读博士在国外进行联合培养</w:t>
      </w:r>
      <w:r>
        <w:rPr>
          <w:rFonts w:hint="eastAsia" w:ascii="仿宋" w:hAnsi="仿宋" w:eastAsia="仿宋"/>
          <w:sz w:val="32"/>
          <w:szCs w:val="32"/>
          <w:lang w:eastAsia="zh-CN"/>
        </w:rPr>
        <w:t>。</w:t>
      </w:r>
      <w:r>
        <w:rPr>
          <w:rFonts w:hint="eastAsia" w:ascii="仿宋" w:hAnsi="仿宋" w:eastAsia="仿宋"/>
          <w:sz w:val="32"/>
          <w:szCs w:val="32"/>
        </w:rPr>
        <w:t>青年教师张震以共同第一作者在Cell发展重要研究成果</w:t>
      </w:r>
      <w:r>
        <w:rPr>
          <w:rFonts w:hint="eastAsia" w:ascii="仿宋" w:hAnsi="仿宋" w:eastAsia="仿宋"/>
          <w:sz w:val="32"/>
          <w:szCs w:val="32"/>
          <w:lang w:eastAsia="zh-CN"/>
        </w:rPr>
        <w:t>。</w:t>
      </w:r>
    </w:p>
    <w:p w14:paraId="1E476386">
      <w:pPr>
        <w:spacing w:line="540" w:lineRule="exact"/>
        <w:ind w:firstLine="641"/>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坚持高水平科研反哺教学，实行全员导师制，教师充足的科研经费为学生的培养提供了重要保障。高度重视实验教学，构建具有生物育种特色的“一体、多元、开放”实验教学体系，强化学生主动学习和创新能力培养</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学生获省部级以上奖项15项，研究生教育成果获教育部学位中心年度主题案例立项。</w:t>
      </w:r>
    </w:p>
    <w:p w14:paraId="34ED4A18">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3.加强思想引领</w:t>
      </w:r>
    </w:p>
    <w:p w14:paraId="24C0876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olor w:val="auto"/>
          <w:sz w:val="32"/>
          <w:szCs w:val="32"/>
          <w:lang w:eastAsia="zh-CN"/>
        </w:rPr>
      </w:pPr>
      <w:r>
        <w:rPr>
          <w:rFonts w:hint="eastAsia" w:ascii="仿宋" w:hAnsi="仿宋" w:eastAsia="仿宋"/>
          <w:color w:val="auto"/>
          <w:sz w:val="32"/>
          <w:szCs w:val="32"/>
          <w:lang w:eastAsia="zh-CN"/>
        </w:rPr>
        <w:t>高度重视思想引领工作，</w:t>
      </w:r>
      <w:r>
        <w:rPr>
          <w:rFonts w:hint="eastAsia" w:ascii="仿宋" w:hAnsi="仿宋" w:eastAsia="仿宋"/>
          <w:color w:val="auto"/>
          <w:sz w:val="32"/>
          <w:szCs w:val="32"/>
        </w:rPr>
        <w:t>引导师生形成正确世界观、人生观和价值观</w:t>
      </w:r>
      <w:r>
        <w:rPr>
          <w:rFonts w:hint="eastAsia" w:ascii="仿宋" w:hAnsi="仿宋" w:eastAsia="仿宋"/>
          <w:color w:val="auto"/>
          <w:sz w:val="32"/>
          <w:szCs w:val="32"/>
          <w:lang w:eastAsia="zh-CN"/>
        </w:rPr>
        <w:t>，努力把党的政治优势转化为促进学院事业发展的强大效能</w:t>
      </w:r>
      <w:r>
        <w:rPr>
          <w:rFonts w:hint="eastAsia" w:ascii="仿宋" w:hAnsi="仿宋" w:eastAsia="仿宋"/>
          <w:color w:val="auto"/>
          <w:sz w:val="32"/>
          <w:szCs w:val="32"/>
        </w:rPr>
        <w:t>。</w:t>
      </w:r>
      <w:r>
        <w:rPr>
          <w:rFonts w:hint="eastAsia" w:ascii="仿宋" w:hAnsi="仿宋" w:eastAsia="仿宋"/>
          <w:color w:val="auto"/>
          <w:sz w:val="32"/>
          <w:szCs w:val="32"/>
          <w:lang w:eastAsia="zh-CN"/>
        </w:rPr>
        <w:t>组织学习二十届四中全会精神、习近平总书记在河南考察时的重要讲话精神，贯彻落实“两高四着力”战略部署，聚焦“1+2+4+N”目标任务体系，践行</w:t>
      </w:r>
      <w:bookmarkStart w:id="0" w:name="_GoBack"/>
      <w:bookmarkEnd w:id="0"/>
      <w:r>
        <w:rPr>
          <w:rFonts w:hint="eastAsia" w:ascii="仿宋" w:hAnsi="仿宋" w:eastAsia="仿宋"/>
          <w:color w:val="auto"/>
          <w:sz w:val="32"/>
          <w:szCs w:val="32"/>
          <w:lang w:eastAsia="zh-CN"/>
        </w:rPr>
        <w:t>“十个第一”、“三个一切”发展理念，引导学院师生在奋力谱写中原大地推进中国式现代化新篇章中担当作为。</w:t>
      </w:r>
      <w:r>
        <w:rPr>
          <w:rFonts w:hint="eastAsia" w:ascii="仿宋_GB2312" w:hAnsi="仿宋_GB2312" w:eastAsia="仿宋_GB2312" w:cs="仿宋_GB2312"/>
          <w:color w:val="auto"/>
          <w:sz w:val="32"/>
          <w:szCs w:val="40"/>
        </w:rPr>
        <w:t>加强师德师风建设，选树先进典型，在年度总结表彰中评选表彰“先进个人”8名,长视频作品《新思润阡陌，诵读砺农心》荣获河南省第29届教育教学信息化交流活动（优秀教育电视节目）二等奖和校级一等奖，1名教师在河南大学“铸魂强师，奋进有我”师德师风建设优秀案例征集活动中荣获一等奖。</w:t>
      </w:r>
    </w:p>
    <w:p w14:paraId="6430A2AF">
      <w:pPr>
        <w:spacing w:line="4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工作中</w:t>
      </w:r>
      <w:r>
        <w:rPr>
          <w:rFonts w:hint="eastAsia" w:ascii="仿宋" w:hAnsi="仿宋" w:eastAsia="仿宋"/>
          <w:sz w:val="32"/>
          <w:szCs w:val="32"/>
        </w:rPr>
        <w:t>还存在</w:t>
      </w:r>
      <w:r>
        <w:rPr>
          <w:rFonts w:hint="eastAsia" w:ascii="仿宋" w:hAnsi="仿宋" w:eastAsia="仿宋"/>
          <w:sz w:val="32"/>
          <w:szCs w:val="32"/>
          <w:lang w:eastAsia="zh-CN"/>
        </w:rPr>
        <w:t>许多</w:t>
      </w:r>
      <w:r>
        <w:rPr>
          <w:rFonts w:hint="eastAsia" w:ascii="仿宋" w:hAnsi="仿宋" w:eastAsia="仿宋"/>
          <w:sz w:val="32"/>
          <w:szCs w:val="32"/>
        </w:rPr>
        <w:t>不足</w:t>
      </w:r>
      <w:r>
        <w:rPr>
          <w:rFonts w:hint="eastAsia" w:ascii="仿宋" w:hAnsi="仿宋" w:eastAsia="仿宋"/>
          <w:sz w:val="32"/>
          <w:szCs w:val="32"/>
          <w:lang w:eastAsia="zh-CN"/>
        </w:rPr>
        <w:t>，请领导、老师批评指正</w:t>
      </w:r>
      <w:r>
        <w:rPr>
          <w:rFonts w:hint="eastAsia" w:ascii="仿宋" w:hAnsi="仿宋" w:eastAsia="仿宋"/>
          <w:sz w:val="32"/>
          <w:szCs w:val="32"/>
        </w:rPr>
        <w:t>。</w:t>
      </w:r>
    </w:p>
    <w:p w14:paraId="154D15C3">
      <w:pPr>
        <w:spacing w:line="460" w:lineRule="exact"/>
        <w:ind w:firstLine="640" w:firstLineChars="200"/>
        <w:rPr>
          <w:rFonts w:hint="eastAsia" w:ascii="仿宋" w:hAnsi="仿宋" w:eastAsia="仿宋"/>
          <w:sz w:val="32"/>
          <w:szCs w:val="32"/>
          <w:lang w:val="en-US" w:eastAsia="zh-CN"/>
        </w:rPr>
      </w:pPr>
    </w:p>
    <w:sectPr>
      <w:footerReference r:id="rId3" w:type="default"/>
      <w:pgSz w:w="11906" w:h="16838"/>
      <w:pgMar w:top="1588" w:right="1588" w:bottom="158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97622"/>
      <w:docPartObj>
        <w:docPartGallery w:val="autotext"/>
      </w:docPartObj>
    </w:sdtPr>
    <w:sdtContent>
      <w:p w14:paraId="79F72450">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6C01CF6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iYjgxNDkyMDljZjExNzcwZmExOGQ4NGNmZDczNmYifQ=="/>
  </w:docVars>
  <w:rsids>
    <w:rsidRoot w:val="00CA4A90"/>
    <w:rsid w:val="000239C9"/>
    <w:rsid w:val="00034251"/>
    <w:rsid w:val="000547FD"/>
    <w:rsid w:val="00076920"/>
    <w:rsid w:val="00085F47"/>
    <w:rsid w:val="00095D05"/>
    <w:rsid w:val="000A5500"/>
    <w:rsid w:val="00135825"/>
    <w:rsid w:val="00164A2B"/>
    <w:rsid w:val="001A2261"/>
    <w:rsid w:val="001F5229"/>
    <w:rsid w:val="00244E49"/>
    <w:rsid w:val="002A76B1"/>
    <w:rsid w:val="002B73EA"/>
    <w:rsid w:val="00350423"/>
    <w:rsid w:val="00373FA0"/>
    <w:rsid w:val="003D6C03"/>
    <w:rsid w:val="00411B4B"/>
    <w:rsid w:val="004246AD"/>
    <w:rsid w:val="00457FB9"/>
    <w:rsid w:val="004B7C34"/>
    <w:rsid w:val="004D6183"/>
    <w:rsid w:val="005B2B44"/>
    <w:rsid w:val="005D3F50"/>
    <w:rsid w:val="00611CD7"/>
    <w:rsid w:val="006671EC"/>
    <w:rsid w:val="006E514A"/>
    <w:rsid w:val="00757D76"/>
    <w:rsid w:val="008143BD"/>
    <w:rsid w:val="008514AE"/>
    <w:rsid w:val="008666FE"/>
    <w:rsid w:val="008E4641"/>
    <w:rsid w:val="0091552B"/>
    <w:rsid w:val="00960695"/>
    <w:rsid w:val="009F2138"/>
    <w:rsid w:val="00A4549D"/>
    <w:rsid w:val="00B66ED2"/>
    <w:rsid w:val="00BE631A"/>
    <w:rsid w:val="00BF7C68"/>
    <w:rsid w:val="00CA4A90"/>
    <w:rsid w:val="00D248B7"/>
    <w:rsid w:val="00D57694"/>
    <w:rsid w:val="00D66C50"/>
    <w:rsid w:val="00E04AA1"/>
    <w:rsid w:val="00E2438B"/>
    <w:rsid w:val="00E440BB"/>
    <w:rsid w:val="00E473D4"/>
    <w:rsid w:val="00E532B8"/>
    <w:rsid w:val="00E70BA9"/>
    <w:rsid w:val="00EA1056"/>
    <w:rsid w:val="00F33F6B"/>
    <w:rsid w:val="00F61C5F"/>
    <w:rsid w:val="00F770A9"/>
    <w:rsid w:val="00FC54E0"/>
    <w:rsid w:val="00FD420C"/>
    <w:rsid w:val="00FE53A5"/>
    <w:rsid w:val="06103112"/>
    <w:rsid w:val="0DC343D2"/>
    <w:rsid w:val="10211FEB"/>
    <w:rsid w:val="15892C78"/>
    <w:rsid w:val="17D41333"/>
    <w:rsid w:val="2756293F"/>
    <w:rsid w:val="2DAC7401"/>
    <w:rsid w:val="32E825DF"/>
    <w:rsid w:val="34510E95"/>
    <w:rsid w:val="396D699A"/>
    <w:rsid w:val="40D716F9"/>
    <w:rsid w:val="43B85AB3"/>
    <w:rsid w:val="540967B9"/>
    <w:rsid w:val="591B47A5"/>
    <w:rsid w:val="646E798F"/>
    <w:rsid w:val="6B82552C"/>
    <w:rsid w:val="6BD3032A"/>
    <w:rsid w:val="7544443B"/>
    <w:rsid w:val="76946CFC"/>
    <w:rsid w:val="7C4845F8"/>
    <w:rsid w:val="7E132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snapToGrid w:val="0"/>
      <w:spacing w:line="580" w:lineRule="atLeast"/>
    </w:pPr>
    <w:rPr>
      <w:rFonts w:ascii="仿宋_GB2312" w:eastAsia="仿宋_GB2312"/>
      <w:sz w:val="32"/>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1998</Words>
  <Characters>2043</Characters>
  <Lines>17</Lines>
  <Paragraphs>4</Paragraphs>
  <TotalTime>16</TotalTime>
  <ScaleCrop>false</ScaleCrop>
  <LinksUpToDate>false</LinksUpToDate>
  <CharactersWithSpaces>2046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2019-03-17T09:22:00Z</dcterms:created>
  <dc:creator>admin</dc:creator>
  <cp:lastModifiedBy>王磊</cp:lastModifiedBy>
  <dcterms:modified xsi:type="dcterms:W3CDTF">2026-01-19T07:16:12Z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1451DE4955584296B65B2EB0234056BD_13</vt:lpwstr>
  </property>
  <property fmtid="{D5CDD505-2E9C-101B-9397-08002B2CF9AE}" pid="4" name="KSOTemplateDocerSaveRecord">
    <vt:lpwstr>eyJoZGlkIjoiNGJiYjgxNDkyMDljZjExNzcwZmExOGQ4NGNmZDczNmYiLCJ1c2VySWQiOiI0NTI0NzI0NTQifQ==</vt:lpwstr>
  </property>
</Properties>
</file>