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黑体" w:hAnsi="Times New Roman" w:eastAsia="黑体"/>
          <w:sz w:val="28"/>
          <w:szCs w:val="28"/>
        </w:rPr>
      </w:pPr>
      <w:bookmarkStart w:id="0" w:name="_GoBack"/>
      <w:r>
        <w:rPr>
          <w:rFonts w:hint="eastAsia" w:ascii="黑体" w:hAnsi="Times New Roman" w:eastAsia="黑体"/>
          <w:sz w:val="32"/>
          <w:szCs w:val="32"/>
          <w:lang w:val="en-US" w:eastAsia="zh-CN"/>
        </w:rPr>
        <w:t>河南大学农</w:t>
      </w:r>
      <w:r>
        <w:rPr>
          <w:rFonts w:hint="eastAsia" w:ascii="黑体" w:hAnsi="Times New Roman" w:eastAsia="黑体"/>
          <w:sz w:val="32"/>
          <w:szCs w:val="32"/>
        </w:rPr>
        <w:t>学院</w:t>
      </w:r>
      <w:r>
        <w:rPr>
          <w:rFonts w:hint="eastAsia" w:ascii="黑体" w:hAnsi="Times New Roman" w:eastAsia="黑体"/>
          <w:sz w:val="32"/>
          <w:szCs w:val="32"/>
          <w:lang w:val="en-US" w:eastAsia="zh-CN"/>
        </w:rPr>
        <w:t>2022年</w:t>
      </w:r>
      <w:r>
        <w:rPr>
          <w:rFonts w:hint="eastAsia" w:ascii="黑体" w:hAnsi="Times New Roman" w:eastAsia="黑体"/>
          <w:sz w:val="32"/>
          <w:szCs w:val="32"/>
        </w:rPr>
        <w:t>研究生学业奖学金评审实施细则</w:t>
      </w:r>
      <w:bookmarkEnd w:id="0"/>
    </w:p>
    <w:p>
      <w:pPr>
        <w:spacing w:line="560" w:lineRule="exact"/>
        <w:rPr>
          <w:rFonts w:hint="eastAsia" w:ascii="Times New Roman" w:hAnsi="仿宋_GB2312" w:eastAsia="仿宋_GB2312"/>
          <w:sz w:val="28"/>
          <w:szCs w:val="28"/>
        </w:rPr>
      </w:pPr>
      <w:r>
        <w:rPr>
          <w:rFonts w:hint="eastAsia" w:ascii="仿宋_GB2312" w:hAnsi="仿宋_GB2312" w:eastAsia="仿宋_GB2312" w:cs="仿宋_GB2312"/>
          <w:sz w:val="28"/>
          <w:szCs w:val="28"/>
        </w:rPr>
        <w:t>第一条：为提高我院研究生培养质量，保证我院研究生评优工作的公正、公平、公开，参照学校</w:t>
      </w:r>
      <w:r>
        <w:rPr>
          <w:rFonts w:hint="eastAsia" w:ascii="仿宋_GB2312" w:hAnsi="仿宋_GB2312" w:eastAsia="仿宋_GB2312" w:cs="仿宋_GB2312"/>
          <w:b w:val="0"/>
          <w:color w:val="auto"/>
          <w:sz w:val="28"/>
          <w:szCs w:val="28"/>
        </w:rPr>
        <w:t>政策，见河南大学文件（校发〔201</w:t>
      </w:r>
      <w:r>
        <w:rPr>
          <w:rFonts w:hint="eastAsia" w:ascii="仿宋_GB2312" w:hAnsi="仿宋_GB2312" w:eastAsia="仿宋_GB2312" w:cs="仿宋_GB2312"/>
          <w:b w:val="0"/>
          <w:color w:val="auto"/>
          <w:sz w:val="28"/>
          <w:szCs w:val="28"/>
          <w:lang w:val="en-US" w:eastAsia="zh-CN"/>
        </w:rPr>
        <w:t>7</w:t>
      </w:r>
      <w:r>
        <w:rPr>
          <w:rFonts w:hint="eastAsia" w:ascii="仿宋_GB2312" w:hAnsi="仿宋_GB2312" w:eastAsia="仿宋_GB2312" w:cs="仿宋_GB2312"/>
          <w:b w:val="0"/>
          <w:color w:val="auto"/>
          <w:sz w:val="28"/>
          <w:szCs w:val="28"/>
        </w:rPr>
        <w:t>〕</w:t>
      </w:r>
      <w:r>
        <w:rPr>
          <w:rFonts w:hint="eastAsia" w:ascii="仿宋_GB2312" w:hAnsi="仿宋_GB2312" w:eastAsia="仿宋_GB2312" w:cs="仿宋_GB2312"/>
          <w:b w:val="0"/>
          <w:color w:val="auto"/>
          <w:sz w:val="28"/>
          <w:szCs w:val="28"/>
          <w:lang w:val="en-US" w:eastAsia="zh-CN"/>
        </w:rPr>
        <w:t>251</w:t>
      </w:r>
      <w:r>
        <w:rPr>
          <w:rFonts w:hint="eastAsia" w:ascii="仿宋_GB2312" w:hAnsi="仿宋_GB2312" w:eastAsia="仿宋_GB2312" w:cs="仿宋_GB2312"/>
          <w:b w:val="0"/>
          <w:color w:val="auto"/>
          <w:sz w:val="28"/>
          <w:szCs w:val="28"/>
        </w:rPr>
        <w:t>号）</w:t>
      </w:r>
      <w:r>
        <w:rPr>
          <w:rFonts w:hint="eastAsia" w:ascii="仿宋_GB2312" w:hAnsi="仿宋_GB2312" w:eastAsia="仿宋_GB2312" w:cs="仿宋_GB2312"/>
          <w:sz w:val="28"/>
          <w:szCs w:val="28"/>
        </w:rPr>
        <w:t>相关规定，以激励研究生勤奋学习、潜心科研、勇于创新、积极</w:t>
      </w:r>
      <w:r>
        <w:rPr>
          <w:rFonts w:hint="eastAsia" w:ascii="Times New Roman" w:hAnsi="仿宋_GB2312" w:eastAsia="仿宋_GB2312"/>
          <w:sz w:val="28"/>
          <w:szCs w:val="28"/>
        </w:rPr>
        <w:t>进取为目的，坚持高标准导向，制订</w:t>
      </w:r>
      <w:r>
        <w:rPr>
          <w:rFonts w:hint="eastAsia" w:ascii="Times New Roman" w:hAnsi="仿宋_GB2312" w:eastAsia="仿宋_GB2312"/>
          <w:sz w:val="28"/>
          <w:szCs w:val="28"/>
          <w:lang w:val="en-US" w:eastAsia="zh-CN"/>
        </w:rPr>
        <w:t>农</w:t>
      </w:r>
      <w:r>
        <w:rPr>
          <w:rFonts w:hint="eastAsia" w:ascii="Times New Roman" w:hAnsi="仿宋_GB2312" w:eastAsia="仿宋_GB2312"/>
          <w:sz w:val="28"/>
          <w:szCs w:val="28"/>
        </w:rPr>
        <w:t>学院研究生学业奖学金评审细则。</w:t>
      </w:r>
    </w:p>
    <w:p>
      <w:pPr>
        <w:spacing w:line="560" w:lineRule="exact"/>
        <w:rPr>
          <w:rFonts w:hint="eastAsia" w:ascii="Times New Roman" w:hAnsi="仿宋_GB2312" w:eastAsia="仿宋_GB2312"/>
          <w:sz w:val="28"/>
          <w:szCs w:val="28"/>
          <w:vertAlign w:val="baseline"/>
        </w:rPr>
      </w:pPr>
      <w:r>
        <w:rPr>
          <w:rFonts w:hint="eastAsia" w:ascii="Times New Roman" w:hAnsi="仿宋_GB2312" w:eastAsia="仿宋_GB2312"/>
          <w:sz w:val="28"/>
          <w:szCs w:val="28"/>
          <w:lang w:val="en-US" w:eastAsia="zh-CN"/>
        </w:rPr>
        <w:t>第二条：奖励比例和标准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668"/>
        <w:gridCol w:w="1668"/>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层次</w:t>
            </w:r>
          </w:p>
        </w:tc>
        <w:tc>
          <w:tcPr>
            <w:tcW w:w="1668" w:type="dxa"/>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等级</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奖励比例</w:t>
            </w:r>
          </w:p>
        </w:tc>
        <w:tc>
          <w:tcPr>
            <w:tcW w:w="1668" w:type="dxa"/>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奖励标准</w:t>
            </w:r>
          </w:p>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（元/生/年）</w:t>
            </w:r>
          </w:p>
        </w:tc>
        <w:tc>
          <w:tcPr>
            <w:tcW w:w="1668" w:type="dxa"/>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经费来源</w:t>
            </w:r>
          </w:p>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（元/生/年）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Merge w:val="restart"/>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博</w:t>
            </w:r>
          </w:p>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士</w:t>
            </w:r>
          </w:p>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生</w:t>
            </w:r>
          </w:p>
        </w:tc>
        <w:tc>
          <w:tcPr>
            <w:tcW w:w="1668" w:type="dxa"/>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一等</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40%</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18000</w:t>
            </w:r>
          </w:p>
        </w:tc>
        <w:tc>
          <w:tcPr>
            <w:tcW w:w="1668" w:type="dxa"/>
            <w:vAlign w:val="center"/>
          </w:tcPr>
          <w:p>
            <w:pPr>
              <w:spacing w:line="300" w:lineRule="exact"/>
              <w:jc w:val="both"/>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省拨：10000</w:t>
            </w:r>
          </w:p>
          <w:p>
            <w:pPr>
              <w:spacing w:line="300" w:lineRule="exact"/>
              <w:ind w:firstLine="0" w:firstLineChars="0"/>
              <w:jc w:val="both"/>
              <w:rPr>
                <w:rFonts w:hint="default" w:ascii="Times New Roman" w:hAnsi="仿宋_GB2312" w:eastAsia="仿宋_GB2312"/>
                <w:sz w:val="24"/>
                <w:szCs w:val="24"/>
                <w:vertAlign w:val="baseline"/>
              </w:rPr>
            </w:pPr>
            <w:r>
              <w:rPr>
                <w:rFonts w:hint="eastAsia" w:ascii="Times New Roman" w:hAnsi="仿宋_GB2312" w:eastAsia="仿宋_GB2312"/>
                <w:sz w:val="24"/>
                <w:szCs w:val="24"/>
                <w:vertAlign w:val="baseline"/>
                <w:lang w:val="en-US" w:eastAsia="zh-CN"/>
              </w:rPr>
              <w:t>校筹：8000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Merge w:val="continue"/>
            <w:vAlign w:val="center"/>
          </w:tcPr>
          <w:p>
            <w:pPr>
              <w:spacing w:line="560" w:lineRule="exact"/>
              <w:jc w:val="center"/>
              <w:rPr>
                <w:rFonts w:hint="eastAsia" w:ascii="Times New Roman" w:hAnsi="仿宋_GB2312" w:eastAsia="仿宋_GB2312"/>
                <w:sz w:val="24"/>
                <w:szCs w:val="24"/>
                <w:vertAlign w:val="baseline"/>
              </w:rPr>
            </w:pP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二等</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30%</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14000</w:t>
            </w:r>
          </w:p>
        </w:tc>
        <w:tc>
          <w:tcPr>
            <w:tcW w:w="1668" w:type="dxa"/>
            <w:vAlign w:val="center"/>
          </w:tcPr>
          <w:p>
            <w:pPr>
              <w:spacing w:line="300" w:lineRule="exact"/>
              <w:jc w:val="left"/>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省拨：10000</w:t>
            </w:r>
          </w:p>
          <w:p>
            <w:pPr>
              <w:spacing w:line="300" w:lineRule="exact"/>
              <w:jc w:val="left"/>
              <w:rPr>
                <w:rFonts w:hint="default" w:ascii="Times New Roman" w:hAnsi="仿宋_GB2312" w:eastAsia="仿宋_GB2312"/>
                <w:sz w:val="24"/>
                <w:szCs w:val="24"/>
                <w:vertAlign w:val="baseline"/>
              </w:rPr>
            </w:pPr>
            <w:r>
              <w:rPr>
                <w:rFonts w:hint="eastAsia" w:ascii="Times New Roman" w:hAnsi="仿宋_GB2312" w:eastAsia="仿宋_GB2312"/>
                <w:sz w:val="24"/>
                <w:szCs w:val="24"/>
                <w:vertAlign w:val="baseline"/>
                <w:lang w:val="en-US" w:eastAsia="zh-CN"/>
              </w:rPr>
              <w:t>校筹：4000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Merge w:val="continue"/>
            <w:vAlign w:val="center"/>
          </w:tcPr>
          <w:p>
            <w:pPr>
              <w:spacing w:line="560" w:lineRule="exact"/>
              <w:jc w:val="center"/>
              <w:rPr>
                <w:rFonts w:hint="eastAsia" w:ascii="Times New Roman" w:hAnsi="仿宋_GB2312" w:eastAsia="仿宋_GB2312"/>
                <w:sz w:val="24"/>
                <w:szCs w:val="24"/>
                <w:vertAlign w:val="baseline"/>
              </w:rPr>
            </w:pP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三等</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30%</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10000</w:t>
            </w:r>
          </w:p>
        </w:tc>
        <w:tc>
          <w:tcPr>
            <w:tcW w:w="1668" w:type="dxa"/>
            <w:vAlign w:val="center"/>
          </w:tcPr>
          <w:p>
            <w:pPr>
              <w:spacing w:line="300" w:lineRule="exact"/>
              <w:jc w:val="left"/>
              <w:rPr>
                <w:rFonts w:hint="default" w:ascii="Times New Roman" w:hAnsi="仿宋_GB2312" w:eastAsia="仿宋_GB2312"/>
                <w:sz w:val="24"/>
                <w:szCs w:val="24"/>
                <w:vertAlign w:val="baseline"/>
              </w:rPr>
            </w:pPr>
            <w:r>
              <w:rPr>
                <w:rFonts w:hint="eastAsia" w:ascii="Times New Roman" w:hAnsi="仿宋_GB2312" w:eastAsia="仿宋_GB2312"/>
                <w:sz w:val="24"/>
                <w:szCs w:val="24"/>
                <w:vertAlign w:val="baseline"/>
                <w:lang w:val="en-US" w:eastAsia="zh-CN"/>
              </w:rPr>
              <w:t>校筹：10000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Merge w:val="restart"/>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硕</w:t>
            </w:r>
          </w:p>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士</w:t>
            </w:r>
          </w:p>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生</w:t>
            </w:r>
          </w:p>
        </w:tc>
        <w:tc>
          <w:tcPr>
            <w:tcW w:w="1668" w:type="dxa"/>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一等</w:t>
            </w:r>
          </w:p>
        </w:tc>
        <w:tc>
          <w:tcPr>
            <w:tcW w:w="1668" w:type="dxa"/>
            <w:vAlign w:val="center"/>
          </w:tcPr>
          <w:p>
            <w:pPr>
              <w:spacing w:line="560" w:lineRule="exact"/>
              <w:jc w:val="center"/>
              <w:rPr>
                <w:rFonts w:hint="eastAsia" w:ascii="Times New Roman" w:hAnsi="仿宋_GB2312" w:eastAsia="仿宋_GB2312" w:cs="Times New Roman"/>
                <w:kern w:val="2"/>
                <w:sz w:val="24"/>
                <w:szCs w:val="24"/>
                <w:vertAlign w:val="baseline"/>
                <w:lang w:val="en-US" w:eastAsia="zh-CN" w:bidi="ar-SA"/>
              </w:rPr>
            </w:pPr>
            <w:r>
              <w:rPr>
                <w:rFonts w:hint="eastAsia" w:ascii="Times New Roman" w:hAnsi="仿宋_GB2312" w:eastAsia="仿宋_GB2312"/>
                <w:sz w:val="24"/>
                <w:szCs w:val="24"/>
                <w:vertAlign w:val="baseline"/>
                <w:lang w:val="en-US" w:eastAsia="zh-CN"/>
              </w:rPr>
              <w:t>40%</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12000</w:t>
            </w:r>
          </w:p>
        </w:tc>
        <w:tc>
          <w:tcPr>
            <w:tcW w:w="1668" w:type="dxa"/>
            <w:vAlign w:val="center"/>
          </w:tcPr>
          <w:p>
            <w:pPr>
              <w:spacing w:line="300" w:lineRule="exact"/>
              <w:jc w:val="left"/>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省拨：8000</w:t>
            </w:r>
          </w:p>
          <w:p>
            <w:pPr>
              <w:spacing w:line="300" w:lineRule="exact"/>
              <w:jc w:val="left"/>
              <w:rPr>
                <w:rFonts w:hint="default" w:ascii="Times New Roman" w:hAnsi="仿宋_GB2312" w:eastAsia="仿宋_GB2312"/>
                <w:sz w:val="24"/>
                <w:szCs w:val="24"/>
                <w:vertAlign w:val="baseline"/>
              </w:rPr>
            </w:pPr>
            <w:r>
              <w:rPr>
                <w:rFonts w:hint="eastAsia" w:ascii="Times New Roman" w:hAnsi="仿宋_GB2312" w:eastAsia="仿宋_GB2312"/>
                <w:sz w:val="24"/>
                <w:szCs w:val="24"/>
                <w:vertAlign w:val="baseline"/>
                <w:lang w:val="en-US" w:eastAsia="zh-CN"/>
              </w:rPr>
              <w:t>校筹：4000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Merge w:val="continue"/>
            <w:vAlign w:val="center"/>
          </w:tcPr>
          <w:p>
            <w:pPr>
              <w:spacing w:line="560" w:lineRule="exact"/>
              <w:jc w:val="center"/>
              <w:rPr>
                <w:rFonts w:hint="eastAsia" w:ascii="Times New Roman" w:hAnsi="仿宋_GB2312" w:eastAsia="仿宋_GB2312"/>
                <w:sz w:val="24"/>
                <w:szCs w:val="24"/>
                <w:vertAlign w:val="baseline"/>
              </w:rPr>
            </w:pP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二等</w:t>
            </w:r>
          </w:p>
        </w:tc>
        <w:tc>
          <w:tcPr>
            <w:tcW w:w="1668" w:type="dxa"/>
            <w:vAlign w:val="center"/>
          </w:tcPr>
          <w:p>
            <w:pPr>
              <w:spacing w:line="560" w:lineRule="exact"/>
              <w:jc w:val="center"/>
              <w:rPr>
                <w:rFonts w:hint="eastAsia" w:ascii="Times New Roman" w:hAnsi="仿宋_GB2312" w:eastAsia="仿宋_GB2312" w:cs="Times New Roman"/>
                <w:kern w:val="2"/>
                <w:sz w:val="24"/>
                <w:szCs w:val="24"/>
                <w:vertAlign w:val="baseline"/>
                <w:lang w:val="en-US" w:eastAsia="zh-CN" w:bidi="ar-SA"/>
              </w:rPr>
            </w:pPr>
            <w:r>
              <w:rPr>
                <w:rFonts w:hint="eastAsia" w:ascii="Times New Roman" w:hAnsi="仿宋_GB2312" w:eastAsia="仿宋_GB2312"/>
                <w:sz w:val="24"/>
                <w:szCs w:val="24"/>
                <w:vertAlign w:val="baseline"/>
                <w:lang w:val="en-US" w:eastAsia="zh-CN"/>
              </w:rPr>
              <w:t>30%</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8000</w:t>
            </w:r>
          </w:p>
        </w:tc>
        <w:tc>
          <w:tcPr>
            <w:tcW w:w="1668" w:type="dxa"/>
            <w:vAlign w:val="center"/>
          </w:tcPr>
          <w:p>
            <w:pPr>
              <w:spacing w:line="300" w:lineRule="exact"/>
              <w:jc w:val="left"/>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省拨：4000</w:t>
            </w:r>
          </w:p>
          <w:p>
            <w:pPr>
              <w:spacing w:line="300" w:lineRule="exact"/>
              <w:jc w:val="left"/>
              <w:rPr>
                <w:rFonts w:hint="default" w:ascii="Times New Roman" w:hAnsi="仿宋_GB2312" w:eastAsia="仿宋_GB2312"/>
                <w:sz w:val="24"/>
                <w:szCs w:val="24"/>
                <w:vertAlign w:val="baseline"/>
              </w:rPr>
            </w:pPr>
            <w:r>
              <w:rPr>
                <w:rFonts w:hint="eastAsia" w:ascii="Times New Roman" w:hAnsi="仿宋_GB2312" w:eastAsia="仿宋_GB2312"/>
                <w:sz w:val="24"/>
                <w:szCs w:val="24"/>
                <w:vertAlign w:val="baseline"/>
                <w:lang w:val="en-US" w:eastAsia="zh-CN"/>
              </w:rPr>
              <w:t>校筹：4000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8" w:type="dxa"/>
            <w:vMerge w:val="continue"/>
            <w:vAlign w:val="center"/>
          </w:tcPr>
          <w:p>
            <w:pPr>
              <w:spacing w:line="560" w:lineRule="exact"/>
              <w:jc w:val="center"/>
              <w:rPr>
                <w:rFonts w:hint="eastAsia" w:ascii="Times New Roman" w:hAnsi="仿宋_GB2312" w:eastAsia="仿宋_GB2312"/>
                <w:sz w:val="24"/>
                <w:szCs w:val="24"/>
                <w:vertAlign w:val="baseline"/>
              </w:rPr>
            </w:pPr>
          </w:p>
        </w:tc>
        <w:tc>
          <w:tcPr>
            <w:tcW w:w="1668" w:type="dxa"/>
            <w:vAlign w:val="center"/>
          </w:tcPr>
          <w:p>
            <w:pPr>
              <w:spacing w:line="560" w:lineRule="exact"/>
              <w:jc w:val="center"/>
              <w:rPr>
                <w:rFonts w:hint="eastAsia"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三等</w:t>
            </w:r>
          </w:p>
        </w:tc>
        <w:tc>
          <w:tcPr>
            <w:tcW w:w="1668" w:type="dxa"/>
            <w:vAlign w:val="center"/>
          </w:tcPr>
          <w:p>
            <w:pPr>
              <w:spacing w:line="560" w:lineRule="exact"/>
              <w:jc w:val="center"/>
              <w:rPr>
                <w:rFonts w:hint="eastAsia" w:ascii="Times New Roman" w:hAnsi="仿宋_GB2312" w:eastAsia="仿宋_GB2312" w:cs="Times New Roman"/>
                <w:kern w:val="2"/>
                <w:sz w:val="24"/>
                <w:szCs w:val="24"/>
                <w:vertAlign w:val="baseline"/>
                <w:lang w:val="en-US" w:eastAsia="zh-CN" w:bidi="ar-SA"/>
              </w:rPr>
            </w:pPr>
            <w:r>
              <w:rPr>
                <w:rFonts w:hint="eastAsia" w:ascii="Times New Roman" w:hAnsi="仿宋_GB2312" w:eastAsia="仿宋_GB2312"/>
                <w:sz w:val="24"/>
                <w:szCs w:val="24"/>
                <w:vertAlign w:val="baseline"/>
                <w:lang w:val="en-US" w:eastAsia="zh-CN"/>
              </w:rPr>
              <w:t>30%</w:t>
            </w:r>
          </w:p>
        </w:tc>
        <w:tc>
          <w:tcPr>
            <w:tcW w:w="1668" w:type="dxa"/>
            <w:vAlign w:val="center"/>
          </w:tcPr>
          <w:p>
            <w:pPr>
              <w:spacing w:line="560" w:lineRule="exact"/>
              <w:jc w:val="center"/>
              <w:rPr>
                <w:rFonts w:hint="default" w:ascii="Times New Roman" w:hAnsi="仿宋_GB2312" w:eastAsia="仿宋_GB2312"/>
                <w:sz w:val="24"/>
                <w:szCs w:val="24"/>
                <w:vertAlign w:val="baseline"/>
                <w:lang w:val="en-US" w:eastAsia="zh-CN"/>
              </w:rPr>
            </w:pPr>
            <w:r>
              <w:rPr>
                <w:rFonts w:hint="eastAsia" w:ascii="Times New Roman" w:hAnsi="仿宋_GB2312" w:eastAsia="仿宋_GB2312"/>
                <w:sz w:val="24"/>
                <w:szCs w:val="24"/>
                <w:vertAlign w:val="baseline"/>
                <w:lang w:val="en-US" w:eastAsia="zh-CN"/>
              </w:rPr>
              <w:t>4000</w:t>
            </w:r>
          </w:p>
        </w:tc>
        <w:tc>
          <w:tcPr>
            <w:tcW w:w="1668" w:type="dxa"/>
            <w:vAlign w:val="center"/>
          </w:tcPr>
          <w:p>
            <w:pPr>
              <w:spacing w:line="300" w:lineRule="exact"/>
              <w:jc w:val="left"/>
              <w:rPr>
                <w:rFonts w:hint="default" w:ascii="Times New Roman" w:hAnsi="仿宋_GB2312" w:eastAsia="仿宋_GB2312"/>
                <w:sz w:val="24"/>
                <w:szCs w:val="24"/>
                <w:vertAlign w:val="baseline"/>
              </w:rPr>
            </w:pPr>
            <w:r>
              <w:rPr>
                <w:rFonts w:hint="eastAsia" w:ascii="Times New Roman" w:hAnsi="仿宋_GB2312" w:eastAsia="仿宋_GB2312"/>
                <w:sz w:val="24"/>
                <w:szCs w:val="24"/>
                <w:vertAlign w:val="baseline"/>
                <w:lang w:val="en-US" w:eastAsia="zh-CN"/>
              </w:rPr>
              <w:t>校筹：4000</w:t>
            </w:r>
          </w:p>
        </w:tc>
      </w:tr>
    </w:tbl>
    <w:p>
      <w:pPr>
        <w:spacing w:line="560" w:lineRule="exact"/>
        <w:rPr>
          <w:rFonts w:ascii="Times New Roman" w:hAnsi="Times New Roman" w:eastAsia="仿宋_GB2312"/>
          <w:sz w:val="28"/>
          <w:szCs w:val="28"/>
        </w:rPr>
      </w:pPr>
      <w:r>
        <w:rPr>
          <w:rFonts w:hint="eastAsia" w:ascii="Times New Roman" w:hAnsi="仿宋_GB2312" w:eastAsia="仿宋_GB2312"/>
          <w:sz w:val="28"/>
          <w:szCs w:val="28"/>
        </w:rPr>
        <w:t>第</w:t>
      </w:r>
      <w:r>
        <w:rPr>
          <w:rFonts w:hint="eastAsia" w:ascii="Times New Roman" w:hAnsi="仿宋_GB2312" w:eastAsia="仿宋_GB2312"/>
          <w:sz w:val="28"/>
          <w:szCs w:val="28"/>
          <w:lang w:val="en-US" w:eastAsia="zh-CN"/>
        </w:rPr>
        <w:t>三</w:t>
      </w:r>
      <w:r>
        <w:rPr>
          <w:rFonts w:hint="eastAsia" w:ascii="Times New Roman" w:hAnsi="仿宋_GB2312" w:eastAsia="仿宋_GB2312"/>
          <w:sz w:val="28"/>
          <w:szCs w:val="28"/>
        </w:rPr>
        <w:t>条：研究生学业奖学金参评的基本条件</w:t>
      </w:r>
    </w:p>
    <w:p>
      <w:pPr>
        <w:numPr>
          <w:ilvl w:val="0"/>
          <w:numId w:val="1"/>
        </w:numPr>
        <w:spacing w:line="560" w:lineRule="exac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热爱祖国，拥护中国共产党领导。</w:t>
      </w:r>
    </w:p>
    <w:p>
      <w:pPr>
        <w:numPr>
          <w:ilvl w:val="0"/>
          <w:numId w:val="1"/>
        </w:numPr>
        <w:spacing w:line="560" w:lineRule="exact"/>
        <w:rPr>
          <w:rFonts w:ascii="Times New Roman" w:hAnsi="Times New Roman" w:eastAsia="仿宋_GB2312"/>
          <w:sz w:val="28"/>
          <w:szCs w:val="28"/>
        </w:rPr>
      </w:pPr>
      <w:r>
        <w:rPr>
          <w:rFonts w:hint="eastAsia" w:ascii="Times New Roman" w:hAnsi="仿宋_GB2312" w:eastAsia="仿宋_GB2312"/>
          <w:sz w:val="28"/>
          <w:szCs w:val="28"/>
        </w:rPr>
        <w:t>诚实守信，道德品质优良。依据《河南大学研究生学术规范》，发现学术道德问题，取消评优资格。</w:t>
      </w:r>
    </w:p>
    <w:p>
      <w:pPr>
        <w:numPr>
          <w:ilvl w:val="0"/>
          <w:numId w:val="1"/>
        </w:numPr>
        <w:spacing w:line="560" w:lineRule="exact"/>
        <w:rPr>
          <w:rFonts w:ascii="Times New Roman" w:hAnsi="Times New Roman" w:eastAsia="仿宋_GB2312"/>
          <w:sz w:val="28"/>
          <w:szCs w:val="28"/>
        </w:rPr>
      </w:pPr>
      <w:r>
        <w:rPr>
          <w:rFonts w:hint="eastAsia" w:ascii="Times New Roman" w:hAnsi="仿宋_GB2312" w:eastAsia="仿宋_GB2312"/>
          <w:sz w:val="28"/>
          <w:szCs w:val="28"/>
        </w:rPr>
        <w:t>自觉遵守学校和学院规章制度，违反规定者，取消当年评优资格。</w:t>
      </w:r>
    </w:p>
    <w:p>
      <w:pPr>
        <w:numPr>
          <w:ilvl w:val="0"/>
          <w:numId w:val="1"/>
        </w:numPr>
        <w:spacing w:line="560" w:lineRule="exact"/>
        <w:rPr>
          <w:rFonts w:ascii="Times New Roman" w:hAnsi="Times New Roman" w:eastAsia="仿宋_GB2312"/>
          <w:sz w:val="28"/>
          <w:szCs w:val="28"/>
        </w:rPr>
      </w:pPr>
      <w:r>
        <w:rPr>
          <w:rFonts w:hint="eastAsia" w:ascii="Times New Roman" w:hAnsi="仿宋_GB2312" w:eastAsia="仿宋_GB2312"/>
          <w:sz w:val="28"/>
          <w:szCs w:val="28"/>
        </w:rPr>
        <w:t>积极参与集体活动，集体活动</w:t>
      </w:r>
      <w:r>
        <w:rPr>
          <w:rFonts w:ascii="Times New Roman" w:hAnsi="仿宋_GB2312" w:eastAsia="仿宋_GB2312"/>
          <w:sz w:val="28"/>
          <w:szCs w:val="28"/>
        </w:rPr>
        <w:t>2</w:t>
      </w:r>
      <w:r>
        <w:rPr>
          <w:rFonts w:hint="eastAsia" w:ascii="Times New Roman" w:hAnsi="仿宋_GB2312" w:eastAsia="仿宋_GB2312"/>
          <w:sz w:val="28"/>
          <w:szCs w:val="28"/>
        </w:rPr>
        <w:t>次无故不参加者，升国旗</w:t>
      </w:r>
      <w:r>
        <w:rPr>
          <w:rFonts w:ascii="Times New Roman" w:hAnsi="仿宋_GB2312" w:eastAsia="仿宋_GB2312"/>
          <w:sz w:val="28"/>
          <w:szCs w:val="28"/>
        </w:rPr>
        <w:t>1</w:t>
      </w:r>
      <w:r>
        <w:rPr>
          <w:rFonts w:hint="eastAsia" w:ascii="Times New Roman" w:hAnsi="仿宋_GB2312" w:eastAsia="仿宋_GB2312"/>
          <w:sz w:val="28"/>
          <w:szCs w:val="28"/>
        </w:rPr>
        <w:t>次无故不参加者，取消当年参评资格。</w:t>
      </w:r>
    </w:p>
    <w:p>
      <w:pPr>
        <w:numPr>
          <w:ilvl w:val="0"/>
          <w:numId w:val="1"/>
        </w:numPr>
        <w:spacing w:line="560" w:lineRule="exact"/>
        <w:rPr>
          <w:rFonts w:ascii="Times New Roman" w:hAnsi="仿宋_GB2312" w:eastAsia="仿宋_GB2312"/>
          <w:sz w:val="28"/>
          <w:szCs w:val="28"/>
        </w:rPr>
      </w:pPr>
      <w:r>
        <w:rPr>
          <w:rFonts w:hint="eastAsia" w:ascii="Times New Roman" w:hAnsi="仿宋_GB2312" w:eastAsia="仿宋_GB2312"/>
          <w:sz w:val="28"/>
          <w:szCs w:val="28"/>
          <w:lang w:eastAsia="zh-CN"/>
        </w:rPr>
        <w:t>本</w:t>
      </w:r>
      <w:r>
        <w:rPr>
          <w:rFonts w:hint="eastAsia" w:ascii="Times New Roman" w:hAnsi="仿宋_GB2312" w:eastAsia="仿宋_GB2312"/>
          <w:sz w:val="28"/>
          <w:szCs w:val="28"/>
        </w:rPr>
        <w:t>学年内，学习成绩</w:t>
      </w:r>
      <w:r>
        <w:rPr>
          <w:rFonts w:hint="eastAsia" w:ascii="Times New Roman" w:hAnsi="仿宋_GB2312" w:eastAsia="仿宋_GB2312"/>
          <w:sz w:val="28"/>
          <w:szCs w:val="28"/>
          <w:lang w:eastAsia="zh-CN"/>
        </w:rPr>
        <w:t>无</w:t>
      </w:r>
      <w:r>
        <w:rPr>
          <w:rFonts w:hint="eastAsia" w:ascii="Times New Roman" w:hAnsi="仿宋_GB2312" w:eastAsia="仿宋_GB2312"/>
          <w:sz w:val="28"/>
          <w:szCs w:val="28"/>
        </w:rPr>
        <w:t>不及格现象。</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第四条：</w:t>
      </w:r>
      <w:r>
        <w:rPr>
          <w:rFonts w:hint="eastAsia" w:ascii="仿宋_GB2312" w:hAnsi="仿宋_GB2312" w:eastAsia="仿宋_GB2312" w:cs="仿宋_GB2312"/>
          <w:sz w:val="28"/>
          <w:szCs w:val="28"/>
        </w:rPr>
        <w:t xml:space="preserve">硕士研究生学业奖学金评定办法 </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年级硕士研究生学业奖学金的评审按照申请人入学初试和复试综合成绩评定。其中，推荐免试研究生(不含公费“农硕计划”和“西部支教计划”返校生)，直接认定为一等研究生学业奖学金获得者。录取的公费“农硕计划”和“西部支教计划”返校生直接认定为三等学业奖学金获得者。其他学生根据入学初试和复试综合成绩排名，按比例进行一等、二等和三等奖学金分配。</w:t>
      </w:r>
    </w:p>
    <w:p>
      <w:pPr>
        <w:numPr>
          <w:ilvl w:val="0"/>
          <w:numId w:val="0"/>
        </w:numPr>
        <w:spacing w:line="560" w:lineRule="exact"/>
        <w:ind w:firstLine="560" w:firstLineChars="200"/>
        <w:rPr>
          <w:rFonts w:hint="eastAsia" w:ascii="仿宋_GB2312" w:hAnsi="仿宋_GB2312" w:eastAsia="仿宋_GB2312" w:cs="仿宋_GB2312"/>
          <w:sz w:val="28"/>
          <w:szCs w:val="28"/>
        </w:rPr>
      </w:pPr>
    </w:p>
    <w:p>
      <w:pPr>
        <w:numPr>
          <w:ilvl w:val="0"/>
          <w:numId w:val="0"/>
        </w:numPr>
        <w:spacing w:line="560" w:lineRule="exact"/>
        <w:ind w:firstLine="560" w:firstLineChars="200"/>
        <w:rPr>
          <w:rFonts w:hint="eastAsia" w:ascii="仿宋_GB2312" w:hAnsi="仿宋_GB2312" w:eastAsia="仿宋_GB2312" w:cs="仿宋_GB2312"/>
          <w:sz w:val="28"/>
          <w:szCs w:val="28"/>
        </w:rPr>
      </w:pPr>
    </w:p>
    <w:p>
      <w:pPr>
        <w:numPr>
          <w:ilvl w:val="0"/>
          <w:numId w:val="0"/>
        </w:numPr>
        <w:spacing w:line="560" w:lineRule="exact"/>
        <w:ind w:firstLine="560" w:firstLineChars="200"/>
        <w:rPr>
          <w:rFonts w:hint="eastAsia" w:ascii="仿宋_GB2312" w:hAnsi="仿宋_GB2312" w:eastAsia="仿宋_GB2312" w:cs="仿宋_GB2312"/>
          <w:sz w:val="28"/>
          <w:szCs w:val="28"/>
        </w:rPr>
      </w:pPr>
    </w:p>
    <w:p>
      <w:pPr>
        <w:adjustRightInd w:val="0"/>
        <w:snapToGrid w:val="0"/>
        <w:spacing w:line="360" w:lineRule="auto"/>
        <w:ind w:right="960" w:firstLine="1680" w:firstLineChars="60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河南大学农学院</w:t>
      </w:r>
    </w:p>
    <w:p>
      <w:pPr>
        <w:adjustRightInd w:val="0"/>
        <w:snapToGrid w:val="0"/>
        <w:spacing w:line="360" w:lineRule="auto"/>
        <w:ind w:right="960" w:firstLine="0" w:firstLineChars="0"/>
        <w:jc w:val="righ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2022年9月10日</w:t>
      </w:r>
    </w:p>
    <w:p>
      <w:pPr>
        <w:numPr>
          <w:ilvl w:val="0"/>
          <w:numId w:val="0"/>
        </w:numPr>
        <w:spacing w:line="560" w:lineRule="exact"/>
        <w:ind w:firstLine="560" w:firstLineChars="200"/>
        <w:rPr>
          <w:rFonts w:hint="eastAsia"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E395F"/>
    <w:multiLevelType w:val="singleLevel"/>
    <w:tmpl w:val="BB5E395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GQ3ZWZhMTcwMjZjOTY0NGVmOWMwZjczYzI4OGQifQ=="/>
  </w:docVars>
  <w:rsids>
    <w:rsidRoot w:val="00000000"/>
    <w:rsid w:val="089F1866"/>
    <w:rsid w:val="11353B81"/>
    <w:rsid w:val="137A70AE"/>
    <w:rsid w:val="3ED0701C"/>
    <w:rsid w:val="4D45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619</Words>
  <Characters>698</Characters>
  <Lines>0</Lines>
  <Paragraphs>0</Paragraphs>
  <TotalTime>8</TotalTime>
  <ScaleCrop>false</ScaleCrop>
  <LinksUpToDate>false</LinksUpToDate>
  <CharactersWithSpaces>701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2022-09-11T11:28:00Z</dcterms:created>
  <dc:creator>ASUS</dc:creator>
  <cp:lastModifiedBy>赵艳琦</cp:lastModifiedBy>
  <dcterms:modified xsi:type="dcterms:W3CDTF">2022-09-12T10:36:50Z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178B217870294DE5A23961D4398B27C8</vt:lpwstr>
  </property>
</Properties>
</file>